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CD" w:rsidRDefault="00B073C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103"/>
          <w:tab w:val="right" w:pos="10206"/>
        </w:tabs>
        <w:spacing w:line="240" w:lineRule="auto"/>
        <w:jc w:val="right"/>
        <w:rPr>
          <w:color w:val="000000"/>
        </w:rPr>
      </w:pPr>
    </w:p>
    <w:p w:rsidR="00B073CD" w:rsidRDefault="009313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103"/>
          <w:tab w:val="right" w:pos="10206"/>
        </w:tabs>
        <w:spacing w:line="240" w:lineRule="auto"/>
        <w:jc w:val="right"/>
        <w:rPr>
          <w:color w:val="000000"/>
        </w:rPr>
      </w:pPr>
      <w:r>
        <w:rPr>
          <w:color w:val="000000"/>
        </w:rPr>
        <w:t>Attendorn, 11.01.2021</w:t>
      </w:r>
    </w:p>
    <w:p w:rsidR="00B073CD" w:rsidRDefault="00B073C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103"/>
          <w:tab w:val="right" w:pos="10206"/>
        </w:tabs>
        <w:spacing w:line="240" w:lineRule="auto"/>
        <w:jc w:val="right"/>
        <w:rPr>
          <w:color w:val="000000"/>
        </w:rPr>
      </w:pPr>
    </w:p>
    <w:p w:rsidR="00B073CD" w:rsidRDefault="009313C0">
      <w:r>
        <w:t>Sehr geehrte Eltern und Erziehungsberechtigen,</w:t>
      </w:r>
    </w:p>
    <w:p w:rsidR="00B073CD" w:rsidRDefault="009313C0">
      <w:r>
        <w:t>liebe Schülerinnen und Schüler,</w:t>
      </w:r>
    </w:p>
    <w:p w:rsidR="00B073CD" w:rsidRDefault="00B073CD"/>
    <w:p w:rsidR="00B073CD" w:rsidRDefault="009313C0">
      <w:pPr>
        <w:spacing w:after="200"/>
        <w:jc w:val="both"/>
      </w:pPr>
      <w:r>
        <w:t xml:space="preserve">zur Zeit können unsere Schüler/innen nicht in die Schule kommen. Es ist sehr wichtig, dass Ihr Kind seine Lehrer/innen trotzdem sehen und mit ihnen sprechen kann. Im persönlichen Kontakt zu unseren Schüler/innen können wir Ihr Kind besser unterstützen und </w:t>
      </w:r>
      <w:r>
        <w:t xml:space="preserve">ihm Hilfen geben. </w:t>
      </w:r>
    </w:p>
    <w:p w:rsidR="00B073CD" w:rsidRDefault="009313C0">
      <w:pPr>
        <w:spacing w:after="200"/>
        <w:jc w:val="both"/>
      </w:pPr>
      <w:r>
        <w:t>Dafür möchten wir Videokonferenzen mit ihm machen. Das ist ganz einfach und man braucht dazu nur ein Smartphone. Auch ein Tablet oder ein Computer kann für Videokonferenzen genutzt werden.</w:t>
      </w:r>
    </w:p>
    <w:p w:rsidR="00B073CD" w:rsidRDefault="009313C0">
      <w:pPr>
        <w:spacing w:after="200"/>
      </w:pPr>
      <w:r>
        <w:t>Das kann eine Konferenz zwischen Lehrkraft und S</w:t>
      </w:r>
      <w:r>
        <w:t xml:space="preserve">chüler/in sein oder auch zwischen der Lehrkraft und mehreren Schüler/innen. </w:t>
      </w:r>
    </w:p>
    <w:p w:rsidR="00B073CD" w:rsidRDefault="009313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Für </w:t>
      </w:r>
      <w:r w:rsidR="00CA411F">
        <w:t>die Videokonferenzen nutzen wir</w:t>
      </w:r>
      <w:r>
        <w:rPr>
          <w:b/>
        </w:rPr>
        <w:t xml:space="preserve"> Zoom</w:t>
      </w:r>
      <w:r>
        <w:t>. Es speichert keine Daten von Ihrem Kind. Wenn Sie mit Video nicht einverstanden sind, kann Ihr Kind auch nur über Ton dabei sei</w:t>
      </w:r>
      <w:r>
        <w:t>n und uns hören und mit uns sprechen. Die Schule speichert keine Videokonferenzen.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8256</wp:posOffset>
            </wp:positionH>
            <wp:positionV relativeFrom="paragraph">
              <wp:posOffset>101268</wp:posOffset>
            </wp:positionV>
            <wp:extent cx="511175" cy="511175"/>
            <wp:effectExtent l="0" t="0" r="0" b="0"/>
            <wp:wrapSquare wrapText="bothSides" distT="0" distB="0" distL="114300" distR="11430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3CD" w:rsidRDefault="00B073CD">
      <w:pPr>
        <w:jc w:val="both"/>
        <w:rPr>
          <w:sz w:val="15"/>
          <w:szCs w:val="15"/>
        </w:rPr>
      </w:pPr>
    </w:p>
    <w:p w:rsidR="00B073CD" w:rsidRDefault="00B073CD">
      <w:pPr>
        <w:jc w:val="both"/>
      </w:pPr>
    </w:p>
    <w:p w:rsidR="00B073CD" w:rsidRDefault="009313C0">
      <w:pPr>
        <w:jc w:val="both"/>
      </w:pPr>
      <w:r>
        <w:t>Videokonferenzen sind ein sehr sensib</w:t>
      </w:r>
      <w:r>
        <w:t xml:space="preserve">les Thema und niemand möchte, dass Inhalte aus einer Videokonferenz den Kreis der Teilnehmer/innen verlassen. 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8256</wp:posOffset>
            </wp:positionH>
            <wp:positionV relativeFrom="paragraph">
              <wp:posOffset>21591</wp:posOffset>
            </wp:positionV>
            <wp:extent cx="1786255" cy="1123950"/>
            <wp:effectExtent l="0" t="0" r="0" b="0"/>
            <wp:wrapSquare wrapText="bothSides" distT="114300" distB="11430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73CD" w:rsidRDefault="009313C0">
      <w:pPr>
        <w:spacing w:after="200"/>
        <w:jc w:val="both"/>
      </w:pPr>
      <w:r>
        <w:t xml:space="preserve">Deshalb möchten wir noch einmal die wichtigsten Regeln vorstellen. </w:t>
      </w:r>
    </w:p>
    <w:p w:rsidR="00B073CD" w:rsidRDefault="009313C0">
      <w:pPr>
        <w:spacing w:after="200"/>
        <w:jc w:val="both"/>
      </w:pPr>
      <w:r>
        <w:t xml:space="preserve">Sie gelten für </w:t>
      </w:r>
      <w:r>
        <w:rPr>
          <w:b/>
        </w:rPr>
        <w:t>Schüler</w:t>
      </w:r>
      <w:r>
        <w:t xml:space="preserve">, </w:t>
      </w:r>
      <w:r>
        <w:rPr>
          <w:b/>
        </w:rPr>
        <w:t>Eltern und Lehrer/innen</w:t>
      </w:r>
      <w:r>
        <w:t>.</w:t>
      </w:r>
    </w:p>
    <w:tbl>
      <w:tblPr>
        <w:tblStyle w:val="a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073CD">
        <w:tc>
          <w:tcPr>
            <w:tcW w:w="9639" w:type="dxa"/>
            <w:tcBorders>
              <w:top w:val="dashed" w:sz="8" w:space="0" w:color="434343"/>
              <w:left w:val="dashed" w:sz="8" w:space="0" w:color="434343"/>
              <w:bottom w:val="dashed" w:sz="8" w:space="0" w:color="434343"/>
              <w:right w:val="dashed" w:sz="8" w:space="0" w:color="43434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73CD" w:rsidRDefault="009313C0">
            <w:pPr>
              <w:jc w:val="center"/>
            </w:pPr>
            <w:r>
              <w:rPr>
                <w:b/>
                <w:sz w:val="36"/>
                <w:szCs w:val="36"/>
              </w:rPr>
              <w:t>REGELN</w:t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5284470</wp:posOffset>
                  </wp:positionH>
                  <wp:positionV relativeFrom="paragraph">
                    <wp:posOffset>-381634</wp:posOffset>
                  </wp:positionV>
                  <wp:extent cx="767080" cy="673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073CD" w:rsidRDefault="009313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</w:pPr>
            <w:r>
              <w:rPr>
                <w:color w:val="000000"/>
              </w:rPr>
              <w:t xml:space="preserve">Von Videokonferenzen dürfen </w:t>
            </w:r>
            <w:r>
              <w:rPr>
                <w:b/>
                <w:color w:val="000000"/>
              </w:rPr>
              <w:t>keine Aufnahmen</w:t>
            </w:r>
            <w:r>
              <w:rPr>
                <w:color w:val="000000"/>
              </w:rPr>
              <w:t xml:space="preserve"> und </w:t>
            </w:r>
            <w:r>
              <w:rPr>
                <w:b/>
                <w:color w:val="000000"/>
              </w:rPr>
              <w:t>keine Mitschnitte</w:t>
            </w:r>
            <w:r>
              <w:rPr>
                <w:color w:val="000000"/>
              </w:rPr>
              <w:t xml:space="preserve"> angefertigt werden! </w:t>
            </w:r>
          </w:p>
          <w:p w:rsidR="00B073CD" w:rsidRDefault="009313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</w:pPr>
            <w:r>
              <w:rPr>
                <w:color w:val="000000"/>
              </w:rPr>
              <w:t>An Videokonferenzen nehmen nur Lehrkräfte und Schüler/innen der Klasse teil. Natürlich dürfen Eltern ihren Kindern zu Beginn der Videokonferenz kurz technische Hilfe lei</w:t>
            </w:r>
            <w:r>
              <w:rPr>
                <w:color w:val="000000"/>
              </w:rPr>
              <w:t xml:space="preserve">sten. </w:t>
            </w:r>
          </w:p>
          <w:p w:rsidR="00B073CD" w:rsidRDefault="009313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</w:pPr>
            <w:r>
              <w:rPr>
                <w:color w:val="000000"/>
              </w:rPr>
              <w:t>Es befindet sich sonst niemand im gleichen Raum und schaut oder hört mit, außer es wurde vorher von der Lehrkraft eine Erlaubnis dazu gegeben.</w:t>
            </w:r>
          </w:p>
          <w:p w:rsidR="00B073CD" w:rsidRDefault="009313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</w:pPr>
            <w:r>
              <w:rPr>
                <w:color w:val="000000"/>
              </w:rPr>
              <w:t>Der Link zu einer Videokonferenz ist geheim und darf nicht an andere Personen weitergegeben werden.</w:t>
            </w:r>
          </w:p>
        </w:tc>
      </w:tr>
    </w:tbl>
    <w:p w:rsidR="00B073CD" w:rsidRDefault="00B073CD">
      <w:pPr>
        <w:jc w:val="both"/>
      </w:pPr>
    </w:p>
    <w:p w:rsidR="00B073CD" w:rsidRDefault="009313C0">
      <w:pPr>
        <w:spacing w:after="200"/>
        <w:jc w:val="both"/>
      </w:pPr>
      <w:r>
        <w:t xml:space="preserve">Wer sich nicht an diese Regeln hält, verstößt gegen </w:t>
      </w:r>
      <w:r>
        <w:rPr>
          <w:b/>
        </w:rPr>
        <w:t>Datenschutzrecht</w:t>
      </w:r>
      <w:r>
        <w:t xml:space="preserve"> und </w:t>
      </w:r>
      <w:r>
        <w:rPr>
          <w:b/>
        </w:rPr>
        <w:t>Persönlichkeitsrecht</w:t>
      </w:r>
      <w:r>
        <w:t xml:space="preserve"> und ist somit rechtlich belangbar.</w:t>
      </w:r>
    </w:p>
    <w:p w:rsidR="00CA411F" w:rsidRDefault="00CA411F" w:rsidP="00CA411F">
      <w:pPr>
        <w:jc w:val="both"/>
      </w:pPr>
      <w:r>
        <w:t>Wenn</w:t>
      </w:r>
      <w:r>
        <w:t xml:space="preserve"> Sie Ihrem Kind gestatten an </w:t>
      </w:r>
      <w:r>
        <w:t xml:space="preserve">den Videokonferenzen </w:t>
      </w:r>
      <w:r>
        <w:t>teilzunehmen, stimmen Sie automatisch den o.g. Regeln und Datenschutzbestimmungen zu.</w:t>
      </w:r>
    </w:p>
    <w:p w:rsidR="00CA411F" w:rsidRDefault="00CA411F" w:rsidP="00CA411F">
      <w:pPr>
        <w:jc w:val="both"/>
      </w:pPr>
    </w:p>
    <w:p w:rsidR="00CA411F" w:rsidRDefault="00CA411F" w:rsidP="00CA411F">
      <w:pPr>
        <w:jc w:val="both"/>
      </w:pPr>
      <w:r>
        <w:t>Mit freundlichen Grüßen</w:t>
      </w:r>
    </w:p>
    <w:p w:rsidR="00CA411F" w:rsidRDefault="00CA411F" w:rsidP="00CA411F">
      <w:pPr>
        <w:jc w:val="both"/>
      </w:pPr>
    </w:p>
    <w:p w:rsidR="00CA411F" w:rsidRDefault="00CA411F" w:rsidP="00CA411F">
      <w:pPr>
        <w:jc w:val="both"/>
      </w:pPr>
      <w:r>
        <w:t>Die Klassenlehrer*innen</w:t>
      </w:r>
    </w:p>
    <w:p w:rsidR="00CA411F" w:rsidRDefault="00CA411F" w:rsidP="00CA411F">
      <w:pPr>
        <w:jc w:val="both"/>
      </w:pPr>
    </w:p>
    <w:p w:rsidR="00CA411F" w:rsidRDefault="00CA411F">
      <w:pPr>
        <w:spacing w:after="200"/>
        <w:jc w:val="both"/>
      </w:pPr>
    </w:p>
    <w:tbl>
      <w:tblPr>
        <w:tblStyle w:val="a0"/>
        <w:tblW w:w="90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6"/>
        <w:gridCol w:w="4189"/>
        <w:gridCol w:w="2713"/>
      </w:tblGrid>
      <w:tr w:rsidR="00B073CD">
        <w:trPr>
          <w:trHeight w:val="668"/>
        </w:trPr>
        <w:tc>
          <w:tcPr>
            <w:tcW w:w="2127" w:type="dxa"/>
            <w:shd w:val="clear" w:color="auto" w:fill="auto"/>
            <w:vAlign w:val="center"/>
          </w:tcPr>
          <w:p w:rsidR="00B073CD" w:rsidRDefault="00B073CD">
            <w:pPr>
              <w:spacing w:line="240" w:lineRule="auto"/>
              <w:jc w:val="center"/>
            </w:pPr>
          </w:p>
        </w:tc>
        <w:tc>
          <w:tcPr>
            <w:tcW w:w="4189" w:type="dxa"/>
            <w:shd w:val="clear" w:color="auto" w:fill="auto"/>
          </w:tcPr>
          <w:p w:rsidR="00B073CD" w:rsidRDefault="00B073CD">
            <w:pPr>
              <w:spacing w:line="240" w:lineRule="auto"/>
            </w:pPr>
          </w:p>
        </w:tc>
        <w:tc>
          <w:tcPr>
            <w:tcW w:w="2713" w:type="dxa"/>
            <w:shd w:val="clear" w:color="auto" w:fill="auto"/>
          </w:tcPr>
          <w:p w:rsidR="00B073CD" w:rsidRDefault="00B073CD">
            <w:pPr>
              <w:spacing w:line="240" w:lineRule="auto"/>
            </w:pPr>
          </w:p>
        </w:tc>
      </w:tr>
      <w:tr w:rsidR="00B073CD">
        <w:trPr>
          <w:trHeight w:val="139"/>
        </w:trPr>
        <w:tc>
          <w:tcPr>
            <w:tcW w:w="2127" w:type="dxa"/>
            <w:shd w:val="clear" w:color="auto" w:fill="auto"/>
            <w:vAlign w:val="bottom"/>
          </w:tcPr>
          <w:p w:rsidR="00B073CD" w:rsidRDefault="00B073CD" w:rsidP="00CA411F">
            <w:pPr>
              <w:spacing w:line="240" w:lineRule="auto"/>
            </w:pPr>
          </w:p>
        </w:tc>
        <w:tc>
          <w:tcPr>
            <w:tcW w:w="4189" w:type="dxa"/>
            <w:shd w:val="clear" w:color="auto" w:fill="auto"/>
          </w:tcPr>
          <w:p w:rsidR="00B073CD" w:rsidRDefault="00B073CD">
            <w:pPr>
              <w:spacing w:line="240" w:lineRule="auto"/>
            </w:pPr>
          </w:p>
        </w:tc>
        <w:tc>
          <w:tcPr>
            <w:tcW w:w="2713" w:type="dxa"/>
            <w:shd w:val="clear" w:color="auto" w:fill="auto"/>
          </w:tcPr>
          <w:p w:rsidR="00B073CD" w:rsidRDefault="00B073CD">
            <w:pPr>
              <w:spacing w:line="240" w:lineRule="auto"/>
            </w:pPr>
          </w:p>
        </w:tc>
      </w:tr>
    </w:tbl>
    <w:p w:rsidR="00B073CD" w:rsidRDefault="00B07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073CD" w:rsidRDefault="00B07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8"/>
          <w:szCs w:val="18"/>
        </w:rPr>
      </w:pPr>
    </w:p>
    <w:p w:rsidR="00B073CD" w:rsidRDefault="00B07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8"/>
          <w:szCs w:val="18"/>
        </w:rPr>
      </w:pPr>
    </w:p>
    <w:p w:rsidR="00B073CD" w:rsidRDefault="00B07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8"/>
          <w:szCs w:val="18"/>
        </w:rPr>
      </w:pPr>
    </w:p>
    <w:p w:rsidR="00B073CD" w:rsidRDefault="00B073CD">
      <w:pPr>
        <w:spacing w:line="240" w:lineRule="auto"/>
        <w:rPr>
          <w:sz w:val="18"/>
          <w:szCs w:val="18"/>
        </w:rPr>
      </w:pPr>
      <w:bookmarkStart w:id="0" w:name="_GoBack"/>
      <w:bookmarkEnd w:id="0"/>
    </w:p>
    <w:sectPr w:rsidR="00B073CD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C0" w:rsidRDefault="009313C0">
      <w:pPr>
        <w:spacing w:line="240" w:lineRule="auto"/>
      </w:pPr>
      <w:r>
        <w:separator/>
      </w:r>
    </w:p>
  </w:endnote>
  <w:endnote w:type="continuationSeparator" w:id="0">
    <w:p w:rsidR="009313C0" w:rsidRDefault="00931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C0" w:rsidRDefault="009313C0">
      <w:pPr>
        <w:spacing w:line="240" w:lineRule="auto"/>
      </w:pPr>
      <w:r>
        <w:separator/>
      </w:r>
    </w:p>
  </w:footnote>
  <w:footnote w:type="continuationSeparator" w:id="0">
    <w:p w:rsidR="009313C0" w:rsidRDefault="00931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705D"/>
    <w:multiLevelType w:val="multilevel"/>
    <w:tmpl w:val="C2EA0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CD"/>
    <w:rsid w:val="005558F9"/>
    <w:rsid w:val="009313C0"/>
    <w:rsid w:val="00B073CD"/>
    <w:rsid w:val="00C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901E"/>
  <w15:docId w15:val="{E829E297-B016-4BD6-8272-C99694E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A411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11F"/>
  </w:style>
  <w:style w:type="paragraph" w:styleId="Fuzeile">
    <w:name w:val="footer"/>
    <w:basedOn w:val="Standard"/>
    <w:link w:val="FuzeileZchn"/>
    <w:uiPriority w:val="99"/>
    <w:unhideWhenUsed/>
    <w:rsid w:val="00CA411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1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1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Habbel</dc:creator>
  <cp:lastModifiedBy>Anja Habbel</cp:lastModifiedBy>
  <cp:revision>2</cp:revision>
  <cp:lastPrinted>2021-01-11T10:09:00Z</cp:lastPrinted>
  <dcterms:created xsi:type="dcterms:W3CDTF">2021-01-11T10:11:00Z</dcterms:created>
  <dcterms:modified xsi:type="dcterms:W3CDTF">2021-01-11T10:11:00Z</dcterms:modified>
</cp:coreProperties>
</file>